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3F8A6" w14:textId="77777777" w:rsidR="00432CF0" w:rsidRPr="00432CF0" w:rsidRDefault="00432CF0" w:rsidP="00432CF0">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b/>
          <w:bCs/>
          <w:kern w:val="0"/>
          <w:lang w:val="fr-BE"/>
          <w14:ligatures w14:val="none"/>
        </w:rPr>
        <w:t>À l’attention de la Mairie et du Gouvernement de la Ville de …</w:t>
      </w:r>
    </w:p>
    <w:p w14:paraId="0076BF91" w14:textId="77777777" w:rsidR="00432CF0" w:rsidRPr="00432CF0" w:rsidRDefault="00432CF0" w:rsidP="00432CF0">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b/>
          <w:bCs/>
          <w:kern w:val="0"/>
          <w:lang w:val="fr-BE"/>
          <w14:ligatures w14:val="none"/>
        </w:rPr>
        <w:t>Objet : Invitation à participer à l’Appel à une Conférence mondiale de Réconciliation, de Paix et de Désarmement le 30 mai 2027</w:t>
      </w:r>
    </w:p>
    <w:p w14:paraId="669FC72F" w14:textId="77777777" w:rsidR="00432CF0" w:rsidRPr="00432CF0" w:rsidRDefault="00432CF0" w:rsidP="00432CF0">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Monsieur/Madame le Maire,</w:t>
      </w:r>
    </w:p>
    <w:p w14:paraId="1AA9480B" w14:textId="77777777" w:rsidR="00432CF0" w:rsidRPr="00432CF0" w:rsidRDefault="00432CF0" w:rsidP="00432CF0">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 xml:space="preserve">Human Unity </w:t>
      </w:r>
      <w:proofErr w:type="spellStart"/>
      <w:r w:rsidRPr="00432CF0">
        <w:rPr>
          <w:rFonts w:ascii="Times New Roman" w:eastAsia="Times New Roman" w:hAnsi="Times New Roman" w:cs="Times New Roman"/>
          <w:kern w:val="0"/>
          <w:lang w:val="fr-BE"/>
          <w14:ligatures w14:val="none"/>
        </w:rPr>
        <w:t>Movement</w:t>
      </w:r>
      <w:proofErr w:type="spellEnd"/>
      <w:r w:rsidRPr="00432CF0">
        <w:rPr>
          <w:rFonts w:ascii="Times New Roman" w:eastAsia="Times New Roman" w:hAnsi="Times New Roman" w:cs="Times New Roman"/>
          <w:kern w:val="0"/>
          <w:lang w:val="fr-BE"/>
          <w14:ligatures w14:val="none"/>
        </w:rPr>
        <w:t xml:space="preserve"> (HUM) s’adresse à la ville de …. pour l’inviter à prendre connaissance de l’Appel susmentionné et à le soutenir, afin que nous, êtres humains, examinions conjointement si nous pouvons cesser d’organiser nos relations par l’imposition d’une volonté sur une autre au moyen de la violence, et construire notre sécurité et notre coopération sur notre capacité à nous comprendre, à nous aider et à décider ensemble.</w:t>
      </w:r>
    </w:p>
    <w:p w14:paraId="6B3D9780" w14:textId="77777777" w:rsidR="00432CF0" w:rsidRPr="00432CF0" w:rsidRDefault="00432CF0" w:rsidP="00432CF0">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La communication humaine universelle de notre époque nous permet de partager une compréhension qui nous était auparavant interdite, parce qu’elle nous aurait affaiblis face aux autres et qu’elle n’était pas viable dans un monde sans communication.</w:t>
      </w:r>
    </w:p>
    <w:p w14:paraId="34E9EA9C" w14:textId="77777777" w:rsidR="00432CF0" w:rsidRPr="00432CF0" w:rsidRDefault="00432CF0" w:rsidP="00432CF0">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Nos relations sont conditionnées par le mal qui, pour nous, êtres humains, est la volonté de le causer, c’est-à-dire par la finalité de nuire de l’arme —proprement dit, des unités armées—, car sa conséquence est que la sécurité de l’un est inévitablement liée à la vulnérabilité de l’autre.</w:t>
      </w:r>
    </w:p>
    <w:p w14:paraId="0CDA25BC" w14:textId="77777777" w:rsidR="00432CF0" w:rsidRPr="00432CF0" w:rsidRDefault="00432CF0" w:rsidP="00432CF0">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L’arme n’agit pas seulement en tuant et en détruisant ; elle est surtout un moyen d’imposer une volonté à une autre. Elle introduit ainsi une relation d’opposition entre les volontés : chacune doit conserver et développer autant que possible sa capacité de nuire afin de soumettre l’autre et de ne pas être soumise par elle, tout en cherchant autant que possible à empêcher l’autre d’acquérir et de développer cette même capacité.</w:t>
      </w:r>
    </w:p>
    <w:p w14:paraId="27E66694" w14:textId="77777777" w:rsidR="00432CF0" w:rsidRPr="00432CF0" w:rsidRDefault="00432CF0" w:rsidP="00432CF0">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Ainsi, entre des volontés dont les intérêts s’opposent directement, l’imposition n’est pas une possibilité parmi d’autres, mais la seule manière de régler les questions, dans la mesure où elles sont subordonnées au même besoin fondamental des parties de s’armer et de désarmer l’autre.</w:t>
      </w:r>
    </w:p>
    <w:p w14:paraId="4CFA07F8" w14:textId="77777777" w:rsidR="00432CF0" w:rsidRPr="00432CF0" w:rsidRDefault="00432CF0" w:rsidP="00432CF0">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C’est pourquoi, même lorsque personne ne souhaite la guerre ni la destruction mutuelle, certaines différences ne peuvent finalement être résolues que lorsqu’une partie désarme l’autre —ce qui constitue l’objectif fondamental de la guerre.</w:t>
      </w:r>
    </w:p>
    <w:p w14:paraId="2F108485" w14:textId="77777777" w:rsidR="00432CF0" w:rsidRPr="00432CF0" w:rsidRDefault="00432CF0" w:rsidP="00432CF0">
      <w:pPr>
        <w:spacing w:before="100" w:beforeAutospacing="1" w:after="100" w:afterAutospacing="1" w:line="240" w:lineRule="auto"/>
        <w:outlineLvl w:val="2"/>
        <w:rPr>
          <w:rFonts w:ascii="Times New Roman" w:eastAsia="Times New Roman" w:hAnsi="Times New Roman" w:cs="Times New Roman"/>
          <w:b/>
          <w:bCs/>
          <w:kern w:val="0"/>
          <w:sz w:val="27"/>
          <w:szCs w:val="27"/>
          <w:lang w:val="fr-BE"/>
          <w14:ligatures w14:val="none"/>
        </w:rPr>
      </w:pPr>
      <w:r w:rsidRPr="00432CF0">
        <w:rPr>
          <w:rFonts w:ascii="Times New Roman" w:eastAsia="Times New Roman" w:hAnsi="Times New Roman" w:cs="Times New Roman"/>
          <w:b/>
          <w:bCs/>
          <w:kern w:val="0"/>
          <w:sz w:val="27"/>
          <w:szCs w:val="27"/>
          <w:lang w:val="fr-BE"/>
          <w14:ligatures w14:val="none"/>
        </w:rPr>
        <w:t>La paix des êtres humains</w:t>
      </w:r>
    </w:p>
    <w:p w14:paraId="27B8AA79" w14:textId="77777777" w:rsidR="00432CF0" w:rsidRPr="00432CF0" w:rsidRDefault="00432CF0" w:rsidP="00432CF0">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En conséquence, aspirer à la paix ne peut pas consister uniquement à empêcher temporairement que les armes tuent et détruisent, car tant que le fondement de la prise de décision sera la plus grande capacité de nuire, toute relation restera subordonnée à cette opposition fondamentale, dont il résulte que notre coopération est en réalité dirigée contre des tiers.</w:t>
      </w:r>
    </w:p>
    <w:p w14:paraId="7270BAB9" w14:textId="77777777" w:rsidR="00432CF0" w:rsidRPr="00432CF0" w:rsidRDefault="00432CF0" w:rsidP="00432CF0">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 xml:space="preserve">Si nous voulons commencer une relation dans laquelle aucune volonté n’a à s’imposer par la violence, nous devons suspendre la fonction de l’arme —le dommage causé à l’autre— comme moyen de résoudre nos différends et appliquer le critère qui découle de notre propre humanité : nous mettre à la place de l’autre et utiliser le bon sens </w:t>
      </w:r>
      <w:r w:rsidRPr="00432CF0">
        <w:rPr>
          <w:rFonts w:ascii="Times New Roman" w:eastAsia="Times New Roman" w:hAnsi="Times New Roman" w:cs="Times New Roman"/>
          <w:kern w:val="0"/>
          <w:lang w:val="fr-BE"/>
          <w14:ligatures w14:val="none"/>
        </w:rPr>
        <w:lastRenderedPageBreak/>
        <w:t>humain en considérant les choses selon leur finalité, car la finalité des choses et des activités nous donne le critère objectif de la justice et de la coopération.</w:t>
      </w:r>
    </w:p>
    <w:p w14:paraId="03DD8AD1" w14:textId="77777777" w:rsidR="00D1007A" w:rsidRDefault="00D1007A" w:rsidP="00432CF0">
      <w:pPr>
        <w:spacing w:before="100" w:beforeAutospacing="1" w:after="100" w:afterAutospacing="1" w:line="240" w:lineRule="auto"/>
        <w:rPr>
          <w:rFonts w:ascii="Times New Roman" w:eastAsia="Times New Roman" w:hAnsi="Times New Roman" w:cs="Times New Roman"/>
          <w:kern w:val="0"/>
          <w:lang w:val="fr-BE"/>
          <w14:ligatures w14:val="none"/>
        </w:rPr>
      </w:pPr>
      <w:r w:rsidRPr="00D1007A">
        <w:rPr>
          <w:rFonts w:ascii="Times New Roman" w:eastAsia="Times New Roman" w:hAnsi="Times New Roman" w:cs="Times New Roman"/>
          <w:kern w:val="0"/>
          <w:lang w:val="fr-BE"/>
          <w14:ligatures w14:val="none"/>
        </w:rPr>
        <w:t>C’est pourquoi la paix est le désarmement dans un processus universel, progressif et concerté qui nous convient à tous, sans exception, puisque le désarmement consiste à éliminer à la fois notre capacité de nous nuire et la nécessité de le faire. Le désarmement élimine la capacité de s’imposer par la violence comme fondement de la hiérarchie ou de l’inégalité qui détermine la répartition des ressources, afin de nous en remettre en leur lieu au mérite ou à la capacité, ainsi qu’à leur usage, leur finalité ou leur service aux êtres humains.</w:t>
      </w:r>
    </w:p>
    <w:p w14:paraId="5A66389A" w14:textId="6B7508BF" w:rsidR="00432CF0" w:rsidRPr="00432CF0" w:rsidRDefault="00432CF0" w:rsidP="00432CF0">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Soutenir l’Appel, c’est adhérer à un critère permettant de s’adresser à toutes les personnes, communautés et groupes humains et de les inviter à la paix avec cohérence : il est non seulement contradictoire de soutenir la Réconciliation tout en étant hostile, mais aussi de comprendre et de partager que la conséquence du désarmement est le soin inclusif et l’amour universel.</w:t>
      </w:r>
    </w:p>
    <w:p w14:paraId="1E965825" w14:textId="77777777" w:rsidR="00432CF0" w:rsidRPr="00432CF0" w:rsidRDefault="00432CF0" w:rsidP="00432CF0">
      <w:pPr>
        <w:spacing w:before="100" w:beforeAutospacing="1" w:after="100" w:afterAutospacing="1" w:line="240" w:lineRule="auto"/>
        <w:outlineLvl w:val="2"/>
        <w:rPr>
          <w:rFonts w:ascii="Times New Roman" w:eastAsia="Times New Roman" w:hAnsi="Times New Roman" w:cs="Times New Roman"/>
          <w:b/>
          <w:bCs/>
          <w:kern w:val="0"/>
          <w:sz w:val="27"/>
          <w:szCs w:val="27"/>
          <w:lang w:val="fr-BE"/>
          <w14:ligatures w14:val="none"/>
        </w:rPr>
      </w:pPr>
      <w:r w:rsidRPr="00432CF0">
        <w:rPr>
          <w:rFonts w:ascii="Times New Roman" w:eastAsia="Times New Roman" w:hAnsi="Times New Roman" w:cs="Times New Roman"/>
          <w:b/>
          <w:bCs/>
          <w:kern w:val="0"/>
          <w:sz w:val="27"/>
          <w:szCs w:val="27"/>
          <w:lang w:val="fr-BE"/>
          <w14:ligatures w14:val="none"/>
        </w:rPr>
        <w:t>Le rôle des villes</w:t>
      </w:r>
    </w:p>
    <w:p w14:paraId="08C04203" w14:textId="77777777" w:rsidR="00432CF0" w:rsidRPr="00432CF0" w:rsidRDefault="00432CF0" w:rsidP="00432CF0">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Les villes sont des espaces où vivent ensemble des personnes d’origines, d’opinions, de cultures, de croyances et d’intérêts différents. Leur fonction essentielle n’est pas d’organiser la sécurité face aux autres villes, mais de rendre possible la coexistence de ceux qui partagent un même espace.</w:t>
      </w:r>
    </w:p>
    <w:p w14:paraId="52B113E7" w14:textId="77777777" w:rsidR="00432CF0" w:rsidRPr="00432CF0" w:rsidRDefault="00432CF0" w:rsidP="00432CF0">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C’est pourquoi nous sollicitons votre aide pour faire avancer l’Appel, en faisant connaître la proposition aux citoyens et en contribuant à sa transmission ultérieure à d’autres organisations et institutions et, finalement, à inviter les États à se réunir aux Nations Unies le 30 mai 2027.</w:t>
      </w:r>
    </w:p>
    <w:p w14:paraId="6E556234" w14:textId="77777777" w:rsidR="00432CF0" w:rsidRPr="00432CF0" w:rsidRDefault="00432CF0" w:rsidP="00432CF0">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HUM s’adresse à la ville de …. avec cette demande et joint, pour sa connaissance, l’Appel à la Conférence mondiale de Réconciliation, de Paix et de Désarmement et, si votre ville le juge opportun, la Déclaration d’Adhésion.</w:t>
      </w:r>
    </w:p>
    <w:p w14:paraId="5CA54433" w14:textId="77777777" w:rsidR="00432CF0" w:rsidRPr="00432CF0" w:rsidRDefault="00432CF0" w:rsidP="00432CF0">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Nous restons à votre disposition et serons heureux de présenter personnellement tout aspect de l’initiative et d’entendre également les considérations qu’elle pourrait susciter.</w:t>
      </w:r>
    </w:p>
    <w:p w14:paraId="4B36342A" w14:textId="77777777" w:rsidR="00432CF0" w:rsidRPr="00432CF0" w:rsidRDefault="00432CF0" w:rsidP="00432CF0">
      <w:pPr>
        <w:spacing w:before="100" w:beforeAutospacing="1" w:after="100" w:afterAutospacing="1" w:line="240" w:lineRule="auto"/>
        <w:rPr>
          <w:rFonts w:ascii="Times New Roman" w:eastAsia="Times New Roman" w:hAnsi="Times New Roman" w:cs="Times New Roman"/>
          <w:kern w:val="0"/>
          <w:lang w:val="fr-BE"/>
          <w14:ligatures w14:val="none"/>
        </w:rPr>
      </w:pPr>
      <w:r w:rsidRPr="00432CF0">
        <w:rPr>
          <w:rFonts w:ascii="Times New Roman" w:eastAsia="Times New Roman" w:hAnsi="Times New Roman" w:cs="Times New Roman"/>
          <w:kern w:val="0"/>
          <w:lang w:val="fr-BE"/>
          <w14:ligatures w14:val="none"/>
        </w:rPr>
        <w:t>Avec notre considération et notre espoir,</w:t>
      </w:r>
    </w:p>
    <w:p w14:paraId="797C0EB7" w14:textId="77777777" w:rsidR="00432CF0" w:rsidRPr="00432CF0" w:rsidRDefault="00432CF0" w:rsidP="00432CF0">
      <w:pPr>
        <w:spacing w:before="100" w:beforeAutospacing="1" w:after="100" w:afterAutospacing="1" w:line="240" w:lineRule="auto"/>
        <w:rPr>
          <w:rFonts w:ascii="Times New Roman" w:eastAsia="Times New Roman" w:hAnsi="Times New Roman" w:cs="Times New Roman"/>
          <w:kern w:val="0"/>
          <w:lang w:val="en-US"/>
          <w14:ligatures w14:val="none"/>
        </w:rPr>
      </w:pPr>
      <w:r w:rsidRPr="00432CF0">
        <w:rPr>
          <w:rFonts w:ascii="Times New Roman" w:eastAsia="Times New Roman" w:hAnsi="Times New Roman" w:cs="Times New Roman"/>
          <w:kern w:val="0"/>
          <w:lang w:val="en-US"/>
          <w14:ligatures w14:val="none"/>
        </w:rPr>
        <w:t>Manuel Herranz Martín</w:t>
      </w:r>
      <w:r w:rsidRPr="00432CF0">
        <w:rPr>
          <w:rFonts w:ascii="Times New Roman" w:eastAsia="Times New Roman" w:hAnsi="Times New Roman" w:cs="Times New Roman"/>
          <w:kern w:val="0"/>
          <w:lang w:val="en-US"/>
          <w14:ligatures w14:val="none"/>
        </w:rPr>
        <w:br/>
      </w:r>
      <w:proofErr w:type="spellStart"/>
      <w:r w:rsidRPr="00432CF0">
        <w:rPr>
          <w:rFonts w:ascii="Times New Roman" w:eastAsia="Times New Roman" w:hAnsi="Times New Roman" w:cs="Times New Roman"/>
          <w:kern w:val="0"/>
          <w:lang w:val="en-US"/>
          <w14:ligatures w14:val="none"/>
        </w:rPr>
        <w:t>Président</w:t>
      </w:r>
      <w:proofErr w:type="spellEnd"/>
      <w:r w:rsidRPr="00432CF0">
        <w:rPr>
          <w:rFonts w:ascii="Times New Roman" w:eastAsia="Times New Roman" w:hAnsi="Times New Roman" w:cs="Times New Roman"/>
          <w:kern w:val="0"/>
          <w:lang w:val="en-US"/>
          <w14:ligatures w14:val="none"/>
        </w:rPr>
        <w:br/>
        <w:t>Human Unity Movement (HUM)</w:t>
      </w:r>
      <w:r w:rsidRPr="00432CF0">
        <w:rPr>
          <w:rFonts w:ascii="Times New Roman" w:eastAsia="Times New Roman" w:hAnsi="Times New Roman" w:cs="Times New Roman"/>
          <w:kern w:val="0"/>
          <w:lang w:val="en-US"/>
          <w14:ligatures w14:val="none"/>
        </w:rPr>
        <w:br/>
        <w:t>human-unity.org</w:t>
      </w:r>
    </w:p>
    <w:p w14:paraId="324A975D" w14:textId="77777777" w:rsidR="00432CF0" w:rsidRPr="00432CF0" w:rsidRDefault="00432CF0">
      <w:pPr>
        <w:rPr>
          <w:lang w:val="en-US"/>
        </w:rPr>
      </w:pPr>
    </w:p>
    <w:sectPr w:rsidR="00432CF0" w:rsidRPr="00432CF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CF0"/>
    <w:rsid w:val="00432CF0"/>
    <w:rsid w:val="00960E78"/>
    <w:rsid w:val="00D1007A"/>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AFC0E"/>
  <w15:chartTrackingRefBased/>
  <w15:docId w15:val="{C74B89BF-54A9-4666-BB5C-E48804E3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32C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32C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32CF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32CF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32CF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32CF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32CF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32CF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32CF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CF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32CF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32CF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32CF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32CF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32CF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32CF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32CF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32CF0"/>
    <w:rPr>
      <w:rFonts w:eastAsiaTheme="majorEastAsia" w:cstheme="majorBidi"/>
      <w:color w:val="272727" w:themeColor="text1" w:themeTint="D8"/>
    </w:rPr>
  </w:style>
  <w:style w:type="paragraph" w:styleId="Ttulo">
    <w:name w:val="Title"/>
    <w:basedOn w:val="Normal"/>
    <w:next w:val="Normal"/>
    <w:link w:val="TtuloCar"/>
    <w:uiPriority w:val="10"/>
    <w:qFormat/>
    <w:rsid w:val="00432C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32CF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32CF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32CF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32CF0"/>
    <w:pPr>
      <w:spacing w:before="160"/>
      <w:jc w:val="center"/>
    </w:pPr>
    <w:rPr>
      <w:i/>
      <w:iCs/>
      <w:color w:val="404040" w:themeColor="text1" w:themeTint="BF"/>
    </w:rPr>
  </w:style>
  <w:style w:type="character" w:customStyle="1" w:styleId="CitaCar">
    <w:name w:val="Cita Car"/>
    <w:basedOn w:val="Fuentedeprrafopredeter"/>
    <w:link w:val="Cita"/>
    <w:uiPriority w:val="29"/>
    <w:rsid w:val="00432CF0"/>
    <w:rPr>
      <w:i/>
      <w:iCs/>
      <w:color w:val="404040" w:themeColor="text1" w:themeTint="BF"/>
    </w:rPr>
  </w:style>
  <w:style w:type="paragraph" w:styleId="Prrafodelista">
    <w:name w:val="List Paragraph"/>
    <w:basedOn w:val="Normal"/>
    <w:uiPriority w:val="34"/>
    <w:qFormat/>
    <w:rsid w:val="00432CF0"/>
    <w:pPr>
      <w:ind w:left="720"/>
      <w:contextualSpacing/>
    </w:pPr>
  </w:style>
  <w:style w:type="character" w:styleId="nfasisintenso">
    <w:name w:val="Intense Emphasis"/>
    <w:basedOn w:val="Fuentedeprrafopredeter"/>
    <w:uiPriority w:val="21"/>
    <w:qFormat/>
    <w:rsid w:val="00432CF0"/>
    <w:rPr>
      <w:i/>
      <w:iCs/>
      <w:color w:val="0F4761" w:themeColor="accent1" w:themeShade="BF"/>
    </w:rPr>
  </w:style>
  <w:style w:type="paragraph" w:styleId="Citadestacada">
    <w:name w:val="Intense Quote"/>
    <w:basedOn w:val="Normal"/>
    <w:next w:val="Normal"/>
    <w:link w:val="CitadestacadaCar"/>
    <w:uiPriority w:val="30"/>
    <w:qFormat/>
    <w:rsid w:val="00432C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32CF0"/>
    <w:rPr>
      <w:i/>
      <w:iCs/>
      <w:color w:val="0F4761" w:themeColor="accent1" w:themeShade="BF"/>
    </w:rPr>
  </w:style>
  <w:style w:type="character" w:styleId="Referenciaintensa">
    <w:name w:val="Intense Reference"/>
    <w:basedOn w:val="Fuentedeprrafopredeter"/>
    <w:uiPriority w:val="32"/>
    <w:qFormat/>
    <w:rsid w:val="00432C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781</Words>
  <Characters>4300</Characters>
  <Application>Microsoft Office Word</Application>
  <DocSecurity>0</DocSecurity>
  <Lines>35</Lines>
  <Paragraphs>10</Paragraphs>
  <ScaleCrop>false</ScaleCrop>
  <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Herranz Martín</dc:creator>
  <cp:keywords/>
  <dc:description/>
  <cp:lastModifiedBy>Manuel Herranz Martín</cp:lastModifiedBy>
  <cp:revision>2</cp:revision>
  <dcterms:created xsi:type="dcterms:W3CDTF">2026-09-21T13:36:00Z</dcterms:created>
  <dcterms:modified xsi:type="dcterms:W3CDTF">2026-09-21T13:42:00Z</dcterms:modified>
</cp:coreProperties>
</file>